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widowControl w:val="off"/>
        <w:rPr>
          <w:color w:val="000000" w:themeColor="text1"/>
          <w:sz w:val="28"/>
          <w:szCs w:val="28"/>
          <w:lang w:val="en-US"/>
        </w:rPr>
        <w:outlineLvl w:val="0"/>
      </w:pPr>
      <w:r>
        <w:rPr>
          <w:color w:val="000000" w:themeColor="text1"/>
          <w:sz w:val="28"/>
          <w:szCs w:val="28"/>
          <w:lang w:val="en-US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pStyle w:val="6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осуществлении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денежной выплаты гражданам, временно отселенным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многоквартирного жилого дома, пострадавшего в чрезвычайной ситуации, возникшей в результате взрыва бытового газа, произошедшего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ноября 2018 года на территории муниципального образования «Приамурское городское поселение»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области, по адресу: пос.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Приамурский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ул. Островского, д. 12</w:t>
      </w:r>
      <w:r/>
    </w:p>
    <w:p>
      <w:pPr>
        <w:jc w:val="both"/>
        <w:spacing w:line="230" w:lineRule="auto"/>
        <w:widowControl w:val="off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</w:r>
      <w:r/>
    </w:p>
    <w:p>
      <w:pPr>
        <w:jc w:val="center"/>
        <w:spacing w:line="230" w:lineRule="auto"/>
        <w:widowControl w:val="off"/>
        <w:rPr>
          <w:bCs/>
          <w:color w:val="000000" w:themeColor="text1"/>
          <w:sz w:val="28"/>
          <w:szCs w:val="28"/>
        </w:rPr>
        <w:outlineLvl w:val="0"/>
      </w:pPr>
      <w:r/>
      <w:bookmarkStart w:id="0" w:name="_GoBack"/>
      <w:r/>
      <w:bookmarkEnd w:id="0"/>
      <w:r/>
      <w:r/>
    </w:p>
    <w:p>
      <w:pPr>
        <w:ind w:firstLine="709"/>
        <w:jc w:val="both"/>
        <w:spacing w:line="360" w:lineRule="auto"/>
        <w:widowControl w:val="off"/>
        <w:rPr>
          <w:bCs/>
          <w:color w:val="000000" w:themeColor="text1"/>
          <w:sz w:val="28"/>
          <w:szCs w:val="28"/>
        </w:rPr>
        <w:outlineLvl w:val="0"/>
      </w:pPr>
      <w:r>
        <w:rPr>
          <w:sz w:val="28"/>
          <w:szCs w:val="28"/>
        </w:rPr>
        <w:t xml:space="preserve">В соответствии с государственной </w:t>
      </w:r>
      <w:r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Социальная поддержка населения Еврейской автономной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2020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2027 годы, утвержденной постановлением правительства Еврейской автономной области от 29.10.2019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367-пп, правительство Еврейской автономной области</w:t>
      </w:r>
      <w:r/>
    </w:p>
    <w:p>
      <w:pPr>
        <w:jc w:val="both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ПОСТАНОВЛЯЕТ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/>
    </w:p>
    <w:p>
      <w:pPr>
        <w:pStyle w:val="605"/>
        <w:ind w:firstLine="709"/>
        <w:jc w:val="both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Осуществлять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денежную выплату гражданам, временно отселенным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из многоквартирного жилого дома, пострадавшего в чрезвычайной ситуации, возникшей в результате взрыва бытового газа, произошедшего 06 ноября 2018 года на территории муниципального образования «Приамурское городское поселение»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области, по адресу: пос.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Приамурский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ул. Островского, д. 12, ежеквартально в размере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31 830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одному из граждан, проживающих (проживавших) в одном жилом помещении.</w:t>
      </w:r>
      <w:r/>
    </w:p>
    <w:p>
      <w:pPr>
        <w:ind w:firstLine="709"/>
        <w:jc w:val="both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Размер денежной выплаты подлежит ежегодной индексации.</w:t>
      </w:r>
      <w:r/>
    </w:p>
    <w:p>
      <w:pPr>
        <w:pStyle w:val="605"/>
        <w:ind w:firstLine="709"/>
        <w:jc w:val="both"/>
        <w:spacing w:line="360" w:lineRule="auto"/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3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. 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Порядок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денежной выплаты гражданам, временно отселенным из многоквартирного жилого дома, пострадавшего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в чрезвычайной ситуации, возникшей в результате взрыва бытового газа, произошедшего 06 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2018 года на территории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«Приамурское городское поселение»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Смидовичского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области,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пос. Приамурский, ул. Островского, д. 12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устанавливается правительств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ом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 w:val="0"/>
          <w:sz w:val="28"/>
          <w:szCs w:val="28"/>
          <w:lang w:eastAsia="en-US"/>
        </w:rPr>
        <w:t xml:space="preserve">Еврейской автономной области.</w:t>
      </w:r>
      <w:r/>
    </w:p>
    <w:p>
      <w:pPr>
        <w:ind w:firstLine="708"/>
        <w:jc w:val="both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Финансирование расходов, связанных с осуществлением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денежной выплаты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предусмотренной пунктом 1 настоящего постановления,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производится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счет средств областного бюджета, предусмотренных департаменту социальной защиты населения правительства 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ind w:firstLine="708"/>
        <w:jc w:val="both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. Настоящее постановление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вступает в силу через 10 дней после дня его </w:t>
      </w:r>
      <w:r>
        <w:rPr>
          <w:rFonts w:eastAsiaTheme="minorHAnsi"/>
          <w:sz w:val="28"/>
          <w:szCs w:val="28"/>
          <w:lang w:eastAsia="en-US"/>
        </w:rPr>
        <w:t xml:space="preserve">официального опубликования </w:t>
      </w:r>
      <w:r>
        <w:rPr>
          <w:rFonts w:eastAsiaTheme="minorHAnsi"/>
          <w:sz w:val="28"/>
          <w:szCs w:val="28"/>
          <w:lang w:eastAsia="en-US"/>
        </w:rPr>
        <w:t xml:space="preserve">и распространяется на правоотношения, возникшие с 01 января 2023 года.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line="230" w:lineRule="auto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line="230" w:lineRule="auto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line="230" w:lineRule="auto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line="230" w:lineRule="auto"/>
        <w:tabs>
          <w:tab w:val="left" w:pos="709" w:leader="none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 области                                                                      Р.Э. Гольдштейн</w:t>
      </w:r>
      <w:r/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paragraph" w:styleId="603">
    <w:name w:val="Balloon Text"/>
    <w:basedOn w:val="598"/>
    <w:link w:val="60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05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opk_114-1</dc:creator>
  <cp:revision>6</cp:revision>
  <dcterms:created xsi:type="dcterms:W3CDTF">2022-11-29T01:55:00Z</dcterms:created>
  <dcterms:modified xsi:type="dcterms:W3CDTF">2023-01-31T07:07:50Z</dcterms:modified>
</cp:coreProperties>
</file>